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6B" w:rsidRPr="0088286B" w:rsidRDefault="00E64D60" w:rsidP="0088286B">
      <w:pPr>
        <w:pStyle w:val="a3"/>
        <w:widowControl/>
        <w:numPr>
          <w:ilvl w:val="0"/>
          <w:numId w:val="1"/>
        </w:numPr>
        <w:spacing w:before="100" w:beforeAutospacing="1" w:after="100" w:afterAutospacing="1"/>
        <w:ind w:firstLineChars="0"/>
        <w:jc w:val="left"/>
        <w:rPr>
          <w:rFonts w:ascii="微软雅黑" w:eastAsia="PMingLiU" w:hAnsi="微软雅黑" w:cs="宋体"/>
          <w:color w:val="000000"/>
          <w:kern w:val="0"/>
          <w:sz w:val="28"/>
          <w:szCs w:val="28"/>
          <w:lang w:eastAsia="zh-TW"/>
        </w:rPr>
      </w:pPr>
      <w:r>
        <w:rPr>
          <w:rFonts w:ascii="微软雅黑" w:eastAsia="微软雅黑" w:hAnsi="微软雅黑" w:cs="宋体" w:hint="eastAsia"/>
          <w:color w:val="000000"/>
          <w:kern w:val="0"/>
          <w:sz w:val="28"/>
          <w:szCs w:val="28"/>
        </w:rPr>
        <w:t>月旦知识库＿</w:t>
      </w:r>
      <w:r w:rsidR="0088286B" w:rsidRPr="0088286B">
        <w:rPr>
          <w:rFonts w:ascii="微软雅黑" w:eastAsia="微软雅黑" w:hAnsi="微软雅黑" w:cs="宋体" w:hint="eastAsia"/>
          <w:color w:val="000000"/>
          <w:kern w:val="0"/>
          <w:sz w:val="28"/>
          <w:szCs w:val="28"/>
        </w:rPr>
        <w:t>资源概况</w:t>
      </w:r>
    </w:p>
    <w:p w:rsidR="0088286B" w:rsidRPr="0088286B" w:rsidRDefault="0088286B" w:rsidP="0088286B">
      <w:pPr>
        <w:pStyle w:val="a3"/>
        <w:spacing w:line="360" w:lineRule="auto"/>
        <w:ind w:left="440" w:firstLineChars="0" w:firstLine="400"/>
        <w:rPr>
          <w:rFonts w:ascii="Calibri" w:eastAsia="PMingLiU" w:hAnsi="Calibri" w:cs="Times New Roman"/>
          <w:color w:val="000000"/>
          <w:kern w:val="0"/>
          <w:sz w:val="22"/>
        </w:rPr>
      </w:pPr>
      <w:r w:rsidRPr="0088286B">
        <w:rPr>
          <w:rFonts w:ascii="Calibri" w:eastAsia="宋体" w:hAnsi="Calibri" w:cs="Times New Roman" w:hint="eastAsia"/>
          <w:color w:val="000000"/>
          <w:kern w:val="0"/>
          <w:sz w:val="22"/>
        </w:rPr>
        <w:t>《月旦知识库》是台湾</w:t>
      </w:r>
      <w:r>
        <w:rPr>
          <w:rFonts w:ascii="Calibri" w:eastAsia="宋体" w:hAnsi="Calibri" w:cs="Times New Roman" w:hint="eastAsia"/>
          <w:color w:val="000000"/>
          <w:kern w:val="0"/>
          <w:sz w:val="22"/>
        </w:rPr>
        <w:t>地区</w:t>
      </w:r>
      <w:r w:rsidRPr="0088286B">
        <w:rPr>
          <w:rFonts w:ascii="Calibri" w:eastAsia="宋体" w:hAnsi="Calibri" w:cs="Times New Roman" w:hint="eastAsia"/>
          <w:color w:val="000000"/>
          <w:kern w:val="0"/>
          <w:sz w:val="22"/>
        </w:rPr>
        <w:t>唯一同时具备“期刊”、“论着”、“学位论文”、“教学讲义”、“法规”、“裁判”、“学者专家文献”、“词典工具书”、另有独立子库收录两岸学术研讨会讲座视频。总计收录近</w:t>
      </w:r>
      <w:r w:rsidRPr="0088286B">
        <w:rPr>
          <w:rFonts w:ascii="Calibri" w:eastAsia="宋体" w:hAnsi="Calibri" w:cs="Times New Roman"/>
          <w:color w:val="000000"/>
          <w:kern w:val="0"/>
          <w:sz w:val="22"/>
        </w:rPr>
        <w:t>1,000</w:t>
      </w:r>
      <w:r w:rsidRPr="0088286B">
        <w:rPr>
          <w:rFonts w:ascii="Calibri" w:eastAsia="宋体" w:hAnsi="Calibri" w:cs="Times New Roman" w:hint="eastAsia"/>
          <w:color w:val="000000"/>
          <w:kern w:val="0"/>
          <w:sz w:val="22"/>
        </w:rPr>
        <w:t>种期刊、</w:t>
      </w:r>
      <w:r w:rsidRPr="0088286B">
        <w:rPr>
          <w:rFonts w:ascii="Calibri" w:eastAsia="宋体" w:hAnsi="Calibri" w:cs="Times New Roman"/>
          <w:color w:val="000000"/>
          <w:kern w:val="0"/>
          <w:sz w:val="22"/>
        </w:rPr>
        <w:t>2,300</w:t>
      </w:r>
      <w:r w:rsidRPr="0088286B">
        <w:rPr>
          <w:rFonts w:ascii="Calibri" w:eastAsia="宋体" w:hAnsi="Calibri" w:cs="Times New Roman" w:hint="eastAsia"/>
          <w:color w:val="000000"/>
          <w:kern w:val="0"/>
          <w:sz w:val="22"/>
        </w:rPr>
        <w:t>本论着、</w:t>
      </w:r>
      <w:r w:rsidRPr="0088286B">
        <w:rPr>
          <w:rFonts w:ascii="Calibri" w:eastAsia="宋体" w:hAnsi="Calibri" w:cs="Times New Roman"/>
          <w:color w:val="000000"/>
          <w:kern w:val="0"/>
          <w:sz w:val="22"/>
        </w:rPr>
        <w:t>3200</w:t>
      </w:r>
      <w:r w:rsidRPr="0088286B">
        <w:rPr>
          <w:rFonts w:ascii="Calibri" w:eastAsia="宋体" w:hAnsi="Calibri" w:cs="Times New Roman" w:hint="eastAsia"/>
          <w:color w:val="000000"/>
          <w:kern w:val="0"/>
          <w:sz w:val="22"/>
        </w:rPr>
        <w:t>余笔教学案例等难寻文献共近</w:t>
      </w:r>
      <w:r w:rsidRPr="0088286B">
        <w:rPr>
          <w:rFonts w:ascii="Calibri" w:eastAsia="宋体" w:hAnsi="Calibri" w:cs="Times New Roman"/>
          <w:color w:val="000000"/>
          <w:kern w:val="0"/>
          <w:sz w:val="22"/>
        </w:rPr>
        <w:t>50</w:t>
      </w:r>
      <w:r w:rsidRPr="0088286B">
        <w:rPr>
          <w:rFonts w:ascii="Calibri" w:eastAsia="宋体" w:hAnsi="Calibri" w:cs="Times New Roman" w:hint="eastAsia"/>
          <w:color w:val="000000"/>
          <w:kern w:val="0"/>
          <w:sz w:val="22"/>
        </w:rPr>
        <w:t>万篇。并收录</w:t>
      </w:r>
      <w:r w:rsidRPr="0088286B">
        <w:rPr>
          <w:rFonts w:ascii="Calibri" w:eastAsia="宋体" w:hAnsi="Calibri" w:cs="Times New Roman"/>
          <w:color w:val="000000"/>
          <w:kern w:val="0"/>
          <w:sz w:val="22"/>
        </w:rPr>
        <w:t>60%</w:t>
      </w:r>
      <w:r w:rsidRPr="0088286B">
        <w:rPr>
          <w:rFonts w:ascii="Calibri" w:eastAsia="宋体" w:hAnsi="Calibri" w:cs="Times New Roman" w:hint="eastAsia"/>
          <w:color w:val="000000"/>
          <w:kern w:val="0"/>
          <w:sz w:val="22"/>
        </w:rPr>
        <w:t>台湾</w:t>
      </w:r>
      <w:r>
        <w:rPr>
          <w:rFonts w:ascii="Calibri" w:eastAsia="宋体" w:hAnsi="Calibri" w:cs="Times New Roman" w:hint="eastAsia"/>
          <w:color w:val="000000"/>
          <w:kern w:val="0"/>
          <w:sz w:val="22"/>
        </w:rPr>
        <w:t>地区</w:t>
      </w:r>
      <w:r w:rsidRPr="0088286B">
        <w:rPr>
          <w:rFonts w:ascii="Calibri" w:eastAsia="宋体" w:hAnsi="Calibri" w:cs="Times New Roman" w:hint="eastAsia"/>
          <w:color w:val="000000"/>
          <w:kern w:val="0"/>
          <w:sz w:val="22"/>
        </w:rPr>
        <w:t>人文学核心期刊（</w:t>
      </w:r>
      <w:r w:rsidRPr="0088286B">
        <w:rPr>
          <w:rFonts w:ascii="Calibri" w:eastAsia="宋体" w:hAnsi="Calibri" w:cs="Times New Roman"/>
          <w:color w:val="000000"/>
          <w:kern w:val="0"/>
          <w:sz w:val="22"/>
        </w:rPr>
        <w:t>THCI</w:t>
      </w:r>
      <w:r w:rsidRPr="0088286B">
        <w:rPr>
          <w:rFonts w:ascii="Calibri" w:eastAsia="宋体" w:hAnsi="Calibri" w:cs="Times New Roman" w:hint="eastAsia"/>
          <w:color w:val="000000"/>
          <w:kern w:val="0"/>
          <w:sz w:val="22"/>
        </w:rPr>
        <w:t>）、及</w:t>
      </w:r>
      <w:r w:rsidRPr="0088286B">
        <w:rPr>
          <w:rFonts w:ascii="Calibri" w:eastAsia="宋体" w:hAnsi="Calibri" w:cs="Times New Roman"/>
          <w:color w:val="000000"/>
          <w:kern w:val="0"/>
          <w:sz w:val="22"/>
        </w:rPr>
        <w:t>60%</w:t>
      </w:r>
      <w:r w:rsidRPr="0088286B">
        <w:rPr>
          <w:rFonts w:ascii="Calibri" w:eastAsia="宋体" w:hAnsi="Calibri" w:cs="Times New Roman" w:hint="eastAsia"/>
          <w:color w:val="000000"/>
          <w:kern w:val="0"/>
          <w:sz w:val="22"/>
        </w:rPr>
        <w:t>台湾</w:t>
      </w:r>
      <w:r w:rsidR="0041144E">
        <w:rPr>
          <w:rFonts w:ascii="Calibri" w:eastAsia="宋体" w:hAnsi="Calibri" w:cs="Times New Roman" w:hint="eastAsia"/>
          <w:color w:val="000000"/>
          <w:kern w:val="0"/>
          <w:sz w:val="22"/>
        </w:rPr>
        <w:t>地区</w:t>
      </w:r>
      <w:r w:rsidRPr="0088286B">
        <w:rPr>
          <w:rFonts w:ascii="Calibri" w:eastAsia="宋体" w:hAnsi="Calibri" w:cs="Times New Roman" w:hint="eastAsia"/>
          <w:color w:val="000000"/>
          <w:kern w:val="0"/>
          <w:sz w:val="22"/>
        </w:rPr>
        <w:t>社会科学核心期刊（</w:t>
      </w:r>
      <w:r w:rsidRPr="0088286B">
        <w:rPr>
          <w:rFonts w:ascii="Calibri" w:eastAsia="宋体" w:hAnsi="Calibri" w:cs="Times New Roman"/>
          <w:color w:val="000000"/>
          <w:kern w:val="0"/>
          <w:sz w:val="22"/>
        </w:rPr>
        <w:t>TSSCI</w:t>
      </w:r>
      <w:r w:rsidRPr="0088286B">
        <w:rPr>
          <w:rFonts w:ascii="Calibri" w:eastAsia="宋体" w:hAnsi="Calibri" w:cs="Times New Roman" w:hint="eastAsia"/>
          <w:color w:val="000000"/>
          <w:kern w:val="0"/>
          <w:sz w:val="22"/>
        </w:rPr>
        <w:t>）。</w:t>
      </w:r>
    </w:p>
    <w:p w:rsidR="0088286B" w:rsidRPr="00DE7539" w:rsidRDefault="0088286B" w:rsidP="0088286B">
      <w:pPr>
        <w:pStyle w:val="a3"/>
        <w:spacing w:line="360" w:lineRule="auto"/>
        <w:ind w:left="440" w:firstLineChars="0" w:firstLine="400"/>
        <w:rPr>
          <w:rFonts w:ascii="Calibri" w:eastAsia="PMingLiU" w:hAnsi="Calibri" w:cs="Times New Roman"/>
          <w:color w:val="000000"/>
          <w:kern w:val="0"/>
          <w:sz w:val="22"/>
        </w:rPr>
      </w:pPr>
      <w:r w:rsidRPr="0088286B">
        <w:rPr>
          <w:rFonts w:ascii="Calibri" w:eastAsia="宋体" w:hAnsi="Calibri" w:cs="Times New Roman" w:hint="eastAsia"/>
          <w:color w:val="000000"/>
          <w:kern w:val="0"/>
          <w:sz w:val="22"/>
        </w:rPr>
        <w:t>收录学科除了有人文社会领域（经济、法学、文学、历史、管理、艺术、社会、新闻、教育、语文等），并包括医学、护理、公共卫生等。</w:t>
      </w:r>
      <w:r w:rsidRPr="00BB3163">
        <w:rPr>
          <w:rFonts w:ascii="Calibri" w:eastAsia="宋体" w:hAnsi="Calibri" w:cs="Times New Roman" w:hint="eastAsia"/>
          <w:color w:val="000000"/>
          <w:kern w:val="0"/>
          <w:sz w:val="22"/>
        </w:rPr>
        <w:t>本库由台湾元照出版公司制作推出，收录元照知识集团独家授权的月旦法学杂志系列、教育研究期刊系列、学术专论、经管、教育、语言丛书，是</w:t>
      </w:r>
      <w:r w:rsidRPr="009D6D9F">
        <w:rPr>
          <w:rFonts w:ascii="Calibri" w:eastAsia="宋体" w:hAnsi="Calibri" w:cs="Times New Roman" w:hint="eastAsia"/>
          <w:color w:val="000000"/>
          <w:kern w:val="0"/>
          <w:sz w:val="22"/>
        </w:rPr>
        <w:t>最具</w:t>
      </w:r>
      <w:r w:rsidRPr="00BB3163">
        <w:rPr>
          <w:rFonts w:ascii="Calibri" w:eastAsia="宋体" w:hAnsi="Calibri" w:cs="Times New Roman" w:hint="eastAsia"/>
          <w:color w:val="000000"/>
          <w:kern w:val="0"/>
          <w:sz w:val="22"/>
        </w:rPr>
        <w:t>有</w:t>
      </w:r>
      <w:r w:rsidRPr="009D6D9F">
        <w:rPr>
          <w:rFonts w:ascii="Calibri" w:eastAsia="宋体" w:hAnsi="Calibri" w:cs="Times New Roman" w:hint="eastAsia"/>
          <w:color w:val="000000"/>
          <w:kern w:val="0"/>
          <w:sz w:val="22"/>
        </w:rPr>
        <w:t>台湾学术精品</w:t>
      </w:r>
      <w:r w:rsidRPr="00BB3163">
        <w:rPr>
          <w:rFonts w:ascii="Calibri" w:eastAsia="宋体" w:hAnsi="Calibri" w:cs="Times New Roman" w:hint="eastAsia"/>
          <w:color w:val="000000"/>
          <w:kern w:val="0"/>
          <w:sz w:val="22"/>
        </w:rPr>
        <w:t>特色</w:t>
      </w:r>
      <w:r w:rsidRPr="009D6D9F">
        <w:rPr>
          <w:rFonts w:ascii="Calibri" w:eastAsia="宋体" w:hAnsi="Calibri" w:cs="Times New Roman" w:hint="eastAsia"/>
          <w:color w:val="000000"/>
          <w:kern w:val="0"/>
          <w:sz w:val="22"/>
        </w:rPr>
        <w:t>资源</w:t>
      </w:r>
      <w:r w:rsidRPr="00BB3163">
        <w:rPr>
          <w:rFonts w:ascii="Calibri" w:eastAsia="宋体" w:hAnsi="Calibri" w:cs="Times New Roman" w:hint="eastAsia"/>
          <w:color w:val="000000"/>
          <w:kern w:val="0"/>
          <w:sz w:val="22"/>
        </w:rPr>
        <w:t>的</w:t>
      </w:r>
      <w:r w:rsidRPr="009D6D9F">
        <w:rPr>
          <w:rFonts w:ascii="Calibri" w:eastAsia="宋体" w:hAnsi="Calibri" w:cs="Times New Roman" w:hint="eastAsia"/>
          <w:color w:val="000000"/>
          <w:kern w:val="0"/>
          <w:sz w:val="22"/>
        </w:rPr>
        <w:t>知识库。</w:t>
      </w:r>
    </w:p>
    <w:p w:rsidR="0088286B" w:rsidRPr="0088286B" w:rsidRDefault="00E64D60" w:rsidP="0088286B">
      <w:pPr>
        <w:pStyle w:val="a3"/>
        <w:widowControl/>
        <w:numPr>
          <w:ilvl w:val="0"/>
          <w:numId w:val="1"/>
        </w:numPr>
        <w:spacing w:before="100" w:beforeAutospacing="1" w:after="100" w:afterAutospacing="1"/>
        <w:ind w:firstLineChars="0"/>
        <w:jc w:val="left"/>
        <w:rPr>
          <w:rFonts w:ascii="微软雅黑" w:eastAsia="PMingLiU" w:hAnsi="微软雅黑" w:cs="宋体"/>
          <w:color w:val="000000"/>
          <w:kern w:val="0"/>
          <w:sz w:val="28"/>
          <w:szCs w:val="28"/>
          <w:lang w:eastAsia="zh-TW"/>
        </w:rPr>
      </w:pPr>
      <w:r>
        <w:rPr>
          <w:rFonts w:ascii="微软雅黑" w:eastAsia="微软雅黑" w:hAnsi="微软雅黑" w:cs="宋体" w:hint="eastAsia"/>
          <w:color w:val="000000"/>
          <w:kern w:val="0"/>
          <w:sz w:val="28"/>
          <w:szCs w:val="28"/>
        </w:rPr>
        <w:t>月旦知识库＿</w:t>
      </w:r>
      <w:r w:rsidR="0088286B" w:rsidRPr="0088286B">
        <w:rPr>
          <w:rFonts w:ascii="微软雅黑" w:eastAsia="微软雅黑" w:hAnsi="微软雅黑" w:cs="宋体" w:hint="eastAsia"/>
          <w:color w:val="000000"/>
          <w:kern w:val="0"/>
          <w:sz w:val="28"/>
          <w:szCs w:val="28"/>
        </w:rPr>
        <w:t>资源</w:t>
      </w:r>
      <w:r w:rsidR="0041144E">
        <w:rPr>
          <w:rFonts w:ascii="微软雅黑" w:eastAsia="微软雅黑" w:hAnsi="微软雅黑" w:cs="宋体" w:hint="eastAsia"/>
          <w:color w:val="000000"/>
          <w:kern w:val="0"/>
          <w:sz w:val="28"/>
          <w:szCs w:val="28"/>
        </w:rPr>
        <w:t>亮点</w:t>
      </w:r>
    </w:p>
    <w:p w:rsidR="0088286B" w:rsidRPr="00306A22" w:rsidRDefault="0088286B" w:rsidP="00A06132">
      <w:pPr>
        <w:pStyle w:val="style201"/>
        <w:adjustRightInd w:val="0"/>
        <w:snapToGrid w:val="0"/>
        <w:spacing w:beforeLines="50" w:before="156" w:beforeAutospacing="0" w:after="0" w:afterAutospacing="0"/>
        <w:ind w:firstLineChars="200" w:firstLine="442"/>
        <w:rPr>
          <w:rStyle w:val="style26"/>
          <w:b/>
          <w:sz w:val="22"/>
          <w:szCs w:val="22"/>
        </w:rPr>
      </w:pPr>
      <w:r w:rsidRPr="00306A22">
        <w:rPr>
          <w:rStyle w:val="style26"/>
          <w:b/>
          <w:sz w:val="22"/>
          <w:szCs w:val="22"/>
        </w:rPr>
        <w:t>A.</w:t>
      </w:r>
      <w:r w:rsidRPr="00306A22">
        <w:rPr>
          <w:rStyle w:val="style26"/>
          <w:rFonts w:hint="eastAsia"/>
          <w:b/>
          <w:sz w:val="22"/>
          <w:szCs w:val="22"/>
        </w:rPr>
        <w:t>学术价值</w:t>
      </w:r>
    </w:p>
    <w:p w:rsidR="0088286B" w:rsidRPr="00306A22" w:rsidRDefault="0088286B" w:rsidP="00A06132">
      <w:pPr>
        <w:pStyle w:val="style201"/>
        <w:adjustRightInd w:val="0"/>
        <w:snapToGrid w:val="0"/>
        <w:spacing w:beforeLines="50" w:before="156" w:beforeAutospacing="0" w:after="0" w:afterAutospacing="0" w:line="360" w:lineRule="auto"/>
        <w:ind w:leftChars="202" w:left="424" w:firstLineChars="200" w:firstLine="440"/>
        <w:jc w:val="both"/>
        <w:rPr>
          <w:rFonts w:ascii="华文楷体" w:eastAsia="PMingLiU" w:hAnsi="华文楷体"/>
          <w:sz w:val="22"/>
          <w:szCs w:val="22"/>
        </w:rPr>
      </w:pPr>
      <w:r w:rsidRPr="00306A22">
        <w:rPr>
          <w:rFonts w:ascii="华文楷体" w:hAnsi="华文楷体" w:hint="eastAsia"/>
          <w:sz w:val="22"/>
          <w:szCs w:val="22"/>
        </w:rPr>
        <w:t>院内老师与研究生在进行科研及论文写作时，需要参考大量文献，外文文献有较高的阅读障碍，探讨的理论与背景，与国内的民情规范差异较大，较难直接作为本国案例之探讨。台湾作为较早继受德、日、美的影响，台湾的研究者，都是有欧美日等国的留学背景，</w:t>
      </w:r>
      <w:r w:rsidRPr="00306A22">
        <w:rPr>
          <w:rFonts w:cs="Times New Roman" w:hint="eastAsia"/>
          <w:color w:val="000000"/>
          <w:sz w:val="22"/>
          <w:szCs w:val="22"/>
        </w:rPr>
        <w:t>持续的将留学国的最新学术发展</w:t>
      </w:r>
      <w:r w:rsidRPr="00306A22">
        <w:rPr>
          <w:rFonts w:ascii="华文楷体" w:hAnsi="华文楷体" w:hint="eastAsia"/>
          <w:sz w:val="22"/>
          <w:szCs w:val="22"/>
        </w:rPr>
        <w:t>，融整本地经验，以学术论文发表，在学术研究价值上有较大的参考价值。</w:t>
      </w:r>
    </w:p>
    <w:p w:rsidR="0088286B" w:rsidRPr="00306A22" w:rsidRDefault="0088286B" w:rsidP="00A06132">
      <w:pPr>
        <w:pStyle w:val="style201"/>
        <w:adjustRightInd w:val="0"/>
        <w:snapToGrid w:val="0"/>
        <w:spacing w:beforeLines="50" w:before="156" w:beforeAutospacing="0" w:after="0" w:afterAutospacing="0"/>
        <w:ind w:firstLineChars="200" w:firstLine="442"/>
        <w:rPr>
          <w:rStyle w:val="style26"/>
          <w:b/>
          <w:sz w:val="22"/>
          <w:szCs w:val="22"/>
        </w:rPr>
      </w:pPr>
      <w:r w:rsidRPr="00306A22">
        <w:rPr>
          <w:rStyle w:val="style26"/>
          <w:b/>
          <w:sz w:val="22"/>
          <w:szCs w:val="22"/>
        </w:rPr>
        <w:t>B.</w:t>
      </w:r>
      <w:r w:rsidRPr="00306A22">
        <w:rPr>
          <w:rStyle w:val="style26"/>
          <w:rFonts w:hint="eastAsia"/>
          <w:b/>
          <w:sz w:val="22"/>
          <w:szCs w:val="22"/>
        </w:rPr>
        <w:t>台湾</w:t>
      </w:r>
      <w:r w:rsidR="0041144E">
        <w:rPr>
          <w:rStyle w:val="style26"/>
          <w:rFonts w:hint="eastAsia"/>
          <w:b/>
          <w:sz w:val="22"/>
          <w:szCs w:val="22"/>
        </w:rPr>
        <w:t>地区</w:t>
      </w:r>
      <w:r w:rsidRPr="00306A22">
        <w:rPr>
          <w:rStyle w:val="style26"/>
          <w:rFonts w:hint="eastAsia"/>
          <w:b/>
          <w:sz w:val="22"/>
          <w:szCs w:val="22"/>
        </w:rPr>
        <w:t>学术资源难以获取</w:t>
      </w:r>
    </w:p>
    <w:p w:rsidR="0041144E" w:rsidRPr="00E64D60" w:rsidRDefault="0088286B" w:rsidP="00A06132">
      <w:pPr>
        <w:pStyle w:val="style201"/>
        <w:adjustRightInd w:val="0"/>
        <w:snapToGrid w:val="0"/>
        <w:spacing w:beforeLines="50" w:before="156" w:beforeAutospacing="0" w:after="0" w:afterAutospacing="0" w:line="360" w:lineRule="auto"/>
        <w:ind w:leftChars="202" w:left="424" w:firstLineChars="200" w:firstLine="440"/>
        <w:jc w:val="both"/>
        <w:rPr>
          <w:rFonts w:ascii="华文楷体" w:eastAsia="PMingLiU" w:hAnsi="华文楷体"/>
          <w:sz w:val="22"/>
          <w:szCs w:val="22"/>
        </w:rPr>
      </w:pPr>
      <w:r w:rsidRPr="00306A22">
        <w:rPr>
          <w:rFonts w:ascii="华文楷体" w:hAnsi="华文楷体" w:hint="eastAsia"/>
          <w:sz w:val="22"/>
          <w:szCs w:val="22"/>
        </w:rPr>
        <w:t>台湾</w:t>
      </w:r>
      <w:r w:rsidR="0041144E">
        <w:rPr>
          <w:rFonts w:ascii="华文楷体" w:hAnsi="华文楷体" w:hint="eastAsia"/>
          <w:sz w:val="22"/>
          <w:szCs w:val="22"/>
        </w:rPr>
        <w:t>地区</w:t>
      </w:r>
      <w:r w:rsidRPr="00306A22">
        <w:rPr>
          <w:rFonts w:ascii="华文楷体" w:hAnsi="华文楷体" w:hint="eastAsia"/>
          <w:sz w:val="22"/>
          <w:szCs w:val="22"/>
        </w:rPr>
        <w:t>的法律学术出版，以台湾元照出版公司出版之法学图书、月旦法学系列杂志的质量最高，“月旦知识库”除独家收录月旦法学系列杂志外，</w:t>
      </w:r>
      <w:r w:rsidRPr="00306A22">
        <w:rPr>
          <w:rFonts w:cs="Times New Roman" w:hint="eastAsia"/>
          <w:color w:val="000000"/>
          <w:sz w:val="22"/>
          <w:szCs w:val="22"/>
        </w:rPr>
        <w:t>同时收录台湾法学核心期刊及法学论着</w:t>
      </w:r>
      <w:r w:rsidRPr="00306A22">
        <w:rPr>
          <w:rFonts w:ascii="华文楷体" w:hAnsi="华文楷体" w:hint="eastAsia"/>
          <w:sz w:val="22"/>
          <w:szCs w:val="22"/>
        </w:rPr>
        <w:t>，也收录学者发表在研讨会、论坛中的</w:t>
      </w:r>
      <w:r w:rsidRPr="00306A22">
        <w:rPr>
          <w:rFonts w:ascii="华文楷体" w:hAnsi="华文楷体"/>
          <w:sz w:val="22"/>
          <w:szCs w:val="22"/>
        </w:rPr>
        <w:t>ppt</w:t>
      </w:r>
      <w:r w:rsidRPr="00306A22">
        <w:rPr>
          <w:rFonts w:ascii="华文楷体" w:hAnsi="华文楷体" w:hint="eastAsia"/>
          <w:sz w:val="22"/>
          <w:szCs w:val="22"/>
        </w:rPr>
        <w:t>材料，完整而实时，同时其所收录的台湾</w:t>
      </w:r>
      <w:r w:rsidR="00E64D60">
        <w:rPr>
          <w:rFonts w:ascii="华文楷体" w:hAnsi="华文楷体" w:hint="eastAsia"/>
          <w:sz w:val="22"/>
          <w:szCs w:val="22"/>
        </w:rPr>
        <w:t>地区</w:t>
      </w:r>
      <w:r w:rsidRPr="00306A22">
        <w:rPr>
          <w:rFonts w:ascii="华文楷体" w:hAnsi="华文楷体" w:hint="eastAsia"/>
          <w:sz w:val="22"/>
          <w:szCs w:val="22"/>
        </w:rPr>
        <w:t>法规与高院的判例都是院内师生在做两岸研究方法比较的重要参考来源。</w:t>
      </w:r>
    </w:p>
    <w:p w:rsidR="0088286B" w:rsidRPr="00306A22" w:rsidRDefault="0088286B" w:rsidP="00A06132">
      <w:pPr>
        <w:pStyle w:val="style201"/>
        <w:adjustRightInd w:val="0"/>
        <w:snapToGrid w:val="0"/>
        <w:spacing w:beforeLines="50" w:before="156" w:beforeAutospacing="0" w:after="0" w:afterAutospacing="0"/>
        <w:ind w:firstLineChars="200" w:firstLine="442"/>
        <w:rPr>
          <w:rStyle w:val="style26"/>
          <w:b/>
          <w:sz w:val="22"/>
          <w:szCs w:val="22"/>
        </w:rPr>
      </w:pPr>
      <w:r w:rsidRPr="00306A22">
        <w:rPr>
          <w:rStyle w:val="style26"/>
          <w:b/>
          <w:sz w:val="22"/>
          <w:szCs w:val="22"/>
        </w:rPr>
        <w:t>C.</w:t>
      </w:r>
      <w:r w:rsidRPr="00306A22">
        <w:rPr>
          <w:rStyle w:val="style26"/>
          <w:rFonts w:hint="eastAsia"/>
          <w:b/>
          <w:sz w:val="22"/>
          <w:szCs w:val="22"/>
        </w:rPr>
        <w:t>一站式提供期刊、专论数字资源</w:t>
      </w:r>
    </w:p>
    <w:p w:rsidR="0088286B" w:rsidRPr="00306A22" w:rsidRDefault="0088286B" w:rsidP="00A06132">
      <w:pPr>
        <w:pStyle w:val="style201"/>
        <w:adjustRightInd w:val="0"/>
        <w:snapToGrid w:val="0"/>
        <w:spacing w:beforeLines="50" w:before="156" w:beforeAutospacing="0" w:after="0" w:afterAutospacing="0" w:line="360" w:lineRule="auto"/>
        <w:ind w:leftChars="202" w:left="424" w:firstLineChars="200" w:firstLine="440"/>
        <w:jc w:val="both"/>
        <w:rPr>
          <w:rFonts w:cs="Times New Roman"/>
          <w:b/>
          <w:color w:val="000000"/>
          <w:sz w:val="22"/>
          <w:szCs w:val="22"/>
        </w:rPr>
      </w:pPr>
      <w:r w:rsidRPr="00306A22">
        <w:rPr>
          <w:rFonts w:cs="Times New Roman" w:hint="eastAsia"/>
          <w:color w:val="000000"/>
          <w:sz w:val="22"/>
          <w:szCs w:val="22"/>
        </w:rPr>
        <w:t>知识库同时收录期刊、论着资源。其中论着资源包括台湾元照、智胜、贝塔、高点、高等教育、心理出版社等各家独家授权社会、经管、语言、心理、教育等丛书；以及北京大学出版社出版法哲学、法理学及传统法学专论。</w:t>
      </w:r>
    </w:p>
    <w:p w:rsidR="0088286B" w:rsidRPr="00306A22" w:rsidRDefault="0088286B" w:rsidP="00A06132">
      <w:pPr>
        <w:pStyle w:val="style201"/>
        <w:adjustRightInd w:val="0"/>
        <w:snapToGrid w:val="0"/>
        <w:spacing w:beforeLines="50" w:before="156" w:beforeAutospacing="0" w:after="0" w:afterAutospacing="0"/>
        <w:ind w:firstLineChars="200" w:firstLine="442"/>
        <w:rPr>
          <w:rStyle w:val="style26"/>
          <w:b/>
          <w:sz w:val="22"/>
          <w:szCs w:val="22"/>
        </w:rPr>
      </w:pPr>
      <w:r w:rsidRPr="00306A22">
        <w:rPr>
          <w:rStyle w:val="style26"/>
          <w:rFonts w:hint="eastAsia"/>
          <w:b/>
          <w:sz w:val="22"/>
          <w:szCs w:val="22"/>
        </w:rPr>
        <w:lastRenderedPageBreak/>
        <w:t>D</w:t>
      </w:r>
      <w:r w:rsidRPr="00306A22">
        <w:rPr>
          <w:rStyle w:val="style26"/>
          <w:b/>
          <w:sz w:val="22"/>
          <w:szCs w:val="22"/>
        </w:rPr>
        <w:t xml:space="preserve">. </w:t>
      </w:r>
      <w:r w:rsidRPr="00306A22">
        <w:rPr>
          <w:rStyle w:val="style26"/>
          <w:rFonts w:hint="eastAsia"/>
          <w:b/>
          <w:sz w:val="22"/>
          <w:szCs w:val="22"/>
        </w:rPr>
        <w:t>元照知识集团独家所属资源</w:t>
      </w:r>
    </w:p>
    <w:p w:rsidR="0088286B" w:rsidRPr="00306A22" w:rsidRDefault="0088286B" w:rsidP="00A06132">
      <w:pPr>
        <w:pStyle w:val="style201"/>
        <w:adjustRightInd w:val="0"/>
        <w:snapToGrid w:val="0"/>
        <w:spacing w:beforeLines="50" w:before="156" w:beforeAutospacing="0" w:after="0" w:afterAutospacing="0" w:line="360" w:lineRule="auto"/>
        <w:ind w:leftChars="202" w:left="424" w:firstLineChars="200" w:firstLine="440"/>
        <w:jc w:val="both"/>
        <w:rPr>
          <w:rFonts w:cs="Times New Roman"/>
          <w:color w:val="000000"/>
          <w:sz w:val="22"/>
          <w:szCs w:val="22"/>
        </w:rPr>
      </w:pPr>
      <w:r w:rsidRPr="00306A22">
        <w:rPr>
          <w:rFonts w:cs="Times New Roman" w:hint="eastAsia"/>
          <w:color w:val="000000"/>
          <w:sz w:val="22"/>
          <w:szCs w:val="22"/>
        </w:rPr>
        <w:t>《月旦知识库》收录元照知识集团所属资源，并且是独家收录，包括月旦杂志全系列、元照英美法词典、元照法政丛书、教育研究月刊系列、高等教育丛书、智胜经管丛书、贝塔商用英文、语言检测系列、高点考试丛书等。</w:t>
      </w:r>
    </w:p>
    <w:p w:rsidR="0088286B" w:rsidRPr="00306A22" w:rsidRDefault="0088286B" w:rsidP="00A06132">
      <w:pPr>
        <w:pStyle w:val="style201"/>
        <w:adjustRightInd w:val="0"/>
        <w:snapToGrid w:val="0"/>
        <w:spacing w:beforeLines="50" w:before="156" w:beforeAutospacing="0" w:after="0" w:afterAutospacing="0"/>
        <w:ind w:firstLineChars="200" w:firstLine="440"/>
        <w:rPr>
          <w:rStyle w:val="style26"/>
          <w:b/>
          <w:sz w:val="22"/>
          <w:szCs w:val="22"/>
        </w:rPr>
      </w:pPr>
      <w:r w:rsidRPr="00306A22">
        <w:rPr>
          <w:rStyle w:val="style26"/>
          <w:rFonts w:eastAsia="PMingLiU" w:hint="eastAsia"/>
          <w:b/>
          <w:sz w:val="22"/>
          <w:szCs w:val="22"/>
        </w:rPr>
        <w:t>E</w:t>
      </w:r>
      <w:r w:rsidRPr="00306A22">
        <w:rPr>
          <w:rStyle w:val="style26"/>
          <w:b/>
          <w:sz w:val="22"/>
          <w:szCs w:val="22"/>
        </w:rPr>
        <w:t xml:space="preserve">. </w:t>
      </w:r>
      <w:r w:rsidRPr="00306A22">
        <w:rPr>
          <w:rStyle w:val="style26"/>
          <w:rFonts w:hint="eastAsia"/>
          <w:b/>
          <w:sz w:val="22"/>
          <w:szCs w:val="22"/>
        </w:rPr>
        <w:t>唯一独家收录专家学者演讲与教学资源库</w:t>
      </w:r>
    </w:p>
    <w:p w:rsidR="0088286B" w:rsidRPr="00306A22" w:rsidRDefault="0088286B" w:rsidP="00A06132">
      <w:pPr>
        <w:pStyle w:val="style201"/>
        <w:adjustRightInd w:val="0"/>
        <w:snapToGrid w:val="0"/>
        <w:spacing w:beforeLines="50" w:before="156" w:beforeAutospacing="0" w:after="0" w:afterAutospacing="0" w:line="360" w:lineRule="auto"/>
        <w:ind w:leftChars="202" w:left="424" w:firstLineChars="200" w:firstLine="440"/>
        <w:jc w:val="both"/>
        <w:rPr>
          <w:rFonts w:cs="Times New Roman"/>
          <w:color w:val="000000"/>
          <w:sz w:val="22"/>
          <w:szCs w:val="22"/>
        </w:rPr>
      </w:pPr>
      <w:r w:rsidRPr="00306A22">
        <w:rPr>
          <w:rFonts w:cs="Times New Roman" w:hint="eastAsia"/>
          <w:color w:val="000000"/>
          <w:sz w:val="22"/>
          <w:szCs w:val="22"/>
        </w:rPr>
        <w:t>教学案例库提供学者教学所使用的教材、讲义与教学案例，透过学理阐述与分析，提升学习者的理解，实践学理与实务印证。并收录各界专家学者研讨会简报、论文、演讲讲义等资源。</w:t>
      </w:r>
    </w:p>
    <w:p w:rsidR="0088286B" w:rsidRPr="0088286B" w:rsidRDefault="0088286B" w:rsidP="0088286B">
      <w:pPr>
        <w:pStyle w:val="a3"/>
        <w:widowControl/>
        <w:numPr>
          <w:ilvl w:val="0"/>
          <w:numId w:val="1"/>
        </w:numPr>
        <w:spacing w:before="100" w:beforeAutospacing="1" w:after="100" w:afterAutospacing="1"/>
        <w:ind w:firstLineChars="0"/>
        <w:jc w:val="left"/>
        <w:rPr>
          <w:rFonts w:ascii="微软雅黑" w:eastAsia="微软雅黑" w:hAnsi="微软雅黑" w:cs="宋体"/>
          <w:color w:val="000000"/>
          <w:kern w:val="0"/>
          <w:sz w:val="28"/>
          <w:szCs w:val="28"/>
        </w:rPr>
      </w:pPr>
      <w:r w:rsidRPr="0088286B">
        <w:rPr>
          <w:rFonts w:ascii="微软雅黑" w:eastAsia="微软雅黑" w:hAnsi="微软雅黑" w:cs="宋体" w:hint="eastAsia"/>
          <w:color w:val="000000"/>
          <w:kern w:val="0"/>
          <w:sz w:val="28"/>
          <w:szCs w:val="28"/>
        </w:rPr>
        <w:t>适合读者，或适用对象</w:t>
      </w:r>
    </w:p>
    <w:p w:rsidR="0088286B" w:rsidRPr="0041144E" w:rsidRDefault="0041144E" w:rsidP="0088286B">
      <w:pPr>
        <w:pStyle w:val="a3"/>
        <w:widowControl/>
        <w:spacing w:before="100" w:beforeAutospacing="1" w:after="100" w:afterAutospacing="1"/>
        <w:ind w:left="440" w:firstLineChars="0" w:firstLine="0"/>
        <w:jc w:val="left"/>
        <w:rPr>
          <w:rFonts w:ascii="宋体" w:eastAsia="宋体" w:hAnsi="宋体" w:cs="Times New Roman"/>
          <w:color w:val="000000"/>
          <w:kern w:val="0"/>
          <w:sz w:val="22"/>
        </w:rPr>
      </w:pPr>
      <w:r>
        <w:rPr>
          <w:rFonts w:ascii="宋体" w:eastAsia="宋体" w:hAnsi="宋体" w:cs="Times New Roman"/>
          <w:color w:val="000000"/>
          <w:kern w:val="0"/>
          <w:sz w:val="22"/>
        </w:rPr>
        <w:t>欲了解台湾地区社会人文各学科资源</w:t>
      </w:r>
      <w:r w:rsidRPr="0041144E">
        <w:rPr>
          <w:rFonts w:ascii="宋体" w:eastAsia="宋体" w:hAnsi="宋体" w:cs="Times New Roman"/>
          <w:color w:val="000000"/>
          <w:kern w:val="0"/>
          <w:sz w:val="22"/>
        </w:rPr>
        <w:t>的老师学生</w:t>
      </w:r>
      <w:r w:rsidR="00E64D60" w:rsidRPr="00E64D60">
        <w:rPr>
          <w:rFonts w:ascii="宋体" w:eastAsia="宋体" w:hAnsi="宋体" w:cs="Times New Roman" w:hint="eastAsia"/>
          <w:color w:val="000000"/>
          <w:kern w:val="0"/>
          <w:sz w:val="22"/>
        </w:rPr>
        <w:t>们</w:t>
      </w:r>
      <w:r w:rsidRPr="0041144E">
        <w:rPr>
          <w:rFonts w:ascii="宋体" w:eastAsia="宋体" w:hAnsi="宋体" w:cs="Times New Roman"/>
          <w:color w:val="000000"/>
          <w:kern w:val="0"/>
          <w:sz w:val="22"/>
        </w:rPr>
        <w:t>。</w:t>
      </w:r>
    </w:p>
    <w:p w:rsidR="0088286B" w:rsidRPr="0041144E" w:rsidRDefault="0088286B" w:rsidP="0088286B">
      <w:pPr>
        <w:pStyle w:val="a3"/>
        <w:widowControl/>
        <w:numPr>
          <w:ilvl w:val="0"/>
          <w:numId w:val="1"/>
        </w:numPr>
        <w:spacing w:before="100" w:beforeAutospacing="1" w:after="100" w:afterAutospacing="1"/>
        <w:ind w:firstLineChars="0"/>
        <w:jc w:val="left"/>
        <w:rPr>
          <w:rFonts w:ascii="微软雅黑" w:eastAsia="微软雅黑" w:hAnsi="微软雅黑" w:cs="宋体"/>
          <w:color w:val="000000"/>
          <w:kern w:val="0"/>
          <w:sz w:val="28"/>
          <w:szCs w:val="28"/>
        </w:rPr>
      </w:pPr>
      <w:r w:rsidRPr="0088286B">
        <w:rPr>
          <w:rFonts w:ascii="微软雅黑" w:eastAsia="微软雅黑" w:hAnsi="微软雅黑" w:cs="宋体" w:hint="eastAsia"/>
          <w:color w:val="000000"/>
          <w:kern w:val="0"/>
          <w:sz w:val="28"/>
          <w:szCs w:val="28"/>
        </w:rPr>
        <w:t>使用方法与步骤</w:t>
      </w:r>
    </w:p>
    <w:p w:rsidR="00E64D60" w:rsidRPr="00E64D60" w:rsidRDefault="0041144E" w:rsidP="00E64D60">
      <w:pPr>
        <w:pStyle w:val="a3"/>
        <w:widowControl/>
        <w:spacing w:before="100" w:beforeAutospacing="1" w:after="100" w:afterAutospacing="1"/>
        <w:ind w:left="440" w:firstLineChars="0" w:firstLine="0"/>
        <w:jc w:val="left"/>
        <w:rPr>
          <w:rFonts w:eastAsia="PMingLiU"/>
          <w:noProof/>
          <w:lang w:eastAsia="zh-TW"/>
        </w:rPr>
      </w:pPr>
      <w:r>
        <w:rPr>
          <w:noProof/>
        </w:rPr>
        <w:drawing>
          <wp:inline distT="0" distB="0" distL="0" distR="0">
            <wp:extent cx="2637320" cy="25685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637456" cy="2568707"/>
                    </a:xfrm>
                    <a:prstGeom prst="rect">
                      <a:avLst/>
                    </a:prstGeom>
                  </pic:spPr>
                </pic:pic>
              </a:graphicData>
            </a:graphic>
          </wp:inline>
        </w:drawing>
      </w:r>
    </w:p>
    <w:p w:rsidR="0088286B" w:rsidRPr="00E64D60" w:rsidRDefault="00E64D60" w:rsidP="00E64D60">
      <w:pPr>
        <w:pStyle w:val="a3"/>
        <w:widowControl/>
        <w:numPr>
          <w:ilvl w:val="0"/>
          <w:numId w:val="1"/>
        </w:numPr>
        <w:spacing w:before="100" w:beforeAutospacing="1" w:after="100" w:afterAutospacing="1"/>
        <w:ind w:firstLineChars="0"/>
        <w:jc w:val="left"/>
        <w:rPr>
          <w:rFonts w:ascii="微软雅黑" w:eastAsia="微软雅黑" w:hAnsi="微软雅黑" w:cs="宋体"/>
          <w:color w:val="000000"/>
          <w:kern w:val="0"/>
          <w:sz w:val="28"/>
          <w:szCs w:val="28"/>
        </w:rPr>
      </w:pPr>
      <w:r w:rsidRPr="00E64D60">
        <w:rPr>
          <w:rFonts w:ascii="微软雅黑" w:eastAsia="微软雅黑" w:hAnsi="微软雅黑" w:cs="宋体" w:hint="eastAsia"/>
          <w:color w:val="000000"/>
          <w:kern w:val="0"/>
          <w:sz w:val="28"/>
          <w:szCs w:val="28"/>
        </w:rPr>
        <w:t>月旦知识库</w:t>
      </w:r>
      <w:r w:rsidR="0088286B" w:rsidRPr="00E64D60">
        <w:rPr>
          <w:rFonts w:ascii="微软雅黑" w:eastAsia="微软雅黑" w:hAnsi="微软雅黑" w:cs="宋体" w:hint="eastAsia"/>
          <w:color w:val="000000"/>
          <w:kern w:val="0"/>
          <w:sz w:val="28"/>
          <w:szCs w:val="28"/>
        </w:rPr>
        <w:t>二维码入口</w:t>
      </w:r>
    </w:p>
    <w:p w:rsidR="00B821C8" w:rsidRDefault="0088286B" w:rsidP="00E64D60">
      <w:pPr>
        <w:widowControl/>
        <w:spacing w:before="100" w:beforeAutospacing="1" w:after="100" w:afterAutospacing="1"/>
        <w:jc w:val="left"/>
        <w:rPr>
          <w:rFonts w:ascii="微软雅黑" w:eastAsia="微软雅黑" w:hAnsi="微软雅黑" w:cs="宋体"/>
          <w:color w:val="000000"/>
          <w:kern w:val="0"/>
          <w:sz w:val="28"/>
          <w:szCs w:val="28"/>
        </w:rPr>
      </w:pPr>
      <w:r w:rsidRPr="0088286B">
        <w:rPr>
          <w:rFonts w:ascii="微软雅黑" w:eastAsia="微软雅黑" w:hAnsi="微软雅黑" w:cs="宋体" w:hint="eastAsia"/>
          <w:color w:val="000000"/>
          <w:kern w:val="0"/>
          <w:sz w:val="28"/>
          <w:szCs w:val="28"/>
        </w:rPr>
        <w:t>     </w:t>
      </w:r>
      <w:r w:rsidR="00E64D60">
        <w:rPr>
          <w:rFonts w:ascii="微软雅黑" w:eastAsia="微软雅黑" w:hAnsi="微软雅黑" w:cs="宋体"/>
          <w:noProof/>
          <w:color w:val="000000"/>
          <w:kern w:val="0"/>
          <w:sz w:val="28"/>
          <w:szCs w:val="28"/>
        </w:rPr>
        <w:drawing>
          <wp:inline distT="0" distB="0" distL="0" distR="0">
            <wp:extent cx="984250" cy="984250"/>
            <wp:effectExtent l="0" t="0" r="6350" b="6350"/>
            <wp:docPr id="3" name="图片 3" descr="C:\Users\user\AppData\Local\Temp\WeChat Files\488026709604169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WeChat Files\4880267096041695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bookmarkStart w:id="0" w:name="_GoBack"/>
      <w:bookmarkEnd w:id="0"/>
    </w:p>
    <w:sectPr w:rsidR="00B821C8" w:rsidSect="00A903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8A" w:rsidRDefault="004F178A" w:rsidP="00A06132">
      <w:r>
        <w:separator/>
      </w:r>
    </w:p>
  </w:endnote>
  <w:endnote w:type="continuationSeparator" w:id="0">
    <w:p w:rsidR="004F178A" w:rsidRDefault="004F178A" w:rsidP="00A0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8A" w:rsidRDefault="004F178A" w:rsidP="00A06132">
      <w:r>
        <w:separator/>
      </w:r>
    </w:p>
  </w:footnote>
  <w:footnote w:type="continuationSeparator" w:id="0">
    <w:p w:rsidR="004F178A" w:rsidRDefault="004F178A" w:rsidP="00A06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8D"/>
    <w:multiLevelType w:val="hybridMultilevel"/>
    <w:tmpl w:val="06B82508"/>
    <w:lvl w:ilvl="0" w:tplc="5E844296">
      <w:start w:val="1"/>
      <w:numFmt w:val="decimal"/>
      <w:lvlText w:val="%1."/>
      <w:lvlJc w:val="left"/>
      <w:pPr>
        <w:ind w:left="440" w:hanging="360"/>
      </w:pPr>
      <w:rPr>
        <w:rFonts w:eastAsia="微软雅黑" w:hint="default"/>
      </w:rPr>
    </w:lvl>
    <w:lvl w:ilvl="1" w:tplc="04090019" w:tentative="1">
      <w:start w:val="1"/>
      <w:numFmt w:val="lowerLetter"/>
      <w:lvlText w:val="%2)"/>
      <w:lvlJc w:val="left"/>
      <w:pPr>
        <w:ind w:left="920" w:hanging="420"/>
      </w:pPr>
    </w:lvl>
    <w:lvl w:ilvl="2" w:tplc="0409001B" w:tentative="1">
      <w:start w:val="1"/>
      <w:numFmt w:val="lowerRoman"/>
      <w:lvlText w:val="%3."/>
      <w:lvlJc w:val="right"/>
      <w:pPr>
        <w:ind w:left="1340" w:hanging="420"/>
      </w:pPr>
    </w:lvl>
    <w:lvl w:ilvl="3" w:tplc="0409000F" w:tentative="1">
      <w:start w:val="1"/>
      <w:numFmt w:val="decimal"/>
      <w:lvlText w:val="%4."/>
      <w:lvlJc w:val="left"/>
      <w:pPr>
        <w:ind w:left="1760" w:hanging="420"/>
      </w:pPr>
    </w:lvl>
    <w:lvl w:ilvl="4" w:tplc="04090019" w:tentative="1">
      <w:start w:val="1"/>
      <w:numFmt w:val="lowerLetter"/>
      <w:lvlText w:val="%5)"/>
      <w:lvlJc w:val="left"/>
      <w:pPr>
        <w:ind w:left="2180" w:hanging="420"/>
      </w:pPr>
    </w:lvl>
    <w:lvl w:ilvl="5" w:tplc="0409001B" w:tentative="1">
      <w:start w:val="1"/>
      <w:numFmt w:val="lowerRoman"/>
      <w:lvlText w:val="%6."/>
      <w:lvlJc w:val="right"/>
      <w:pPr>
        <w:ind w:left="2600" w:hanging="420"/>
      </w:pPr>
    </w:lvl>
    <w:lvl w:ilvl="6" w:tplc="0409000F" w:tentative="1">
      <w:start w:val="1"/>
      <w:numFmt w:val="decimal"/>
      <w:lvlText w:val="%7."/>
      <w:lvlJc w:val="left"/>
      <w:pPr>
        <w:ind w:left="3020" w:hanging="420"/>
      </w:pPr>
    </w:lvl>
    <w:lvl w:ilvl="7" w:tplc="04090019" w:tentative="1">
      <w:start w:val="1"/>
      <w:numFmt w:val="lowerLetter"/>
      <w:lvlText w:val="%8)"/>
      <w:lvlJc w:val="left"/>
      <w:pPr>
        <w:ind w:left="3440" w:hanging="420"/>
      </w:pPr>
    </w:lvl>
    <w:lvl w:ilvl="8" w:tplc="0409001B" w:tentative="1">
      <w:start w:val="1"/>
      <w:numFmt w:val="lowerRoman"/>
      <w:lvlText w:val="%9."/>
      <w:lvlJc w:val="right"/>
      <w:pPr>
        <w:ind w:left="3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286B"/>
    <w:rsid w:val="0010520D"/>
    <w:rsid w:val="0015621F"/>
    <w:rsid w:val="001A2B6C"/>
    <w:rsid w:val="00410F17"/>
    <w:rsid w:val="0041144E"/>
    <w:rsid w:val="004F178A"/>
    <w:rsid w:val="005B790E"/>
    <w:rsid w:val="005C7662"/>
    <w:rsid w:val="0088286B"/>
    <w:rsid w:val="00A06132"/>
    <w:rsid w:val="00A9034E"/>
    <w:rsid w:val="00B821C8"/>
    <w:rsid w:val="00BA3334"/>
    <w:rsid w:val="00C864E7"/>
    <w:rsid w:val="00E64D60"/>
    <w:rsid w:val="00E96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86B"/>
    <w:pPr>
      <w:ind w:firstLineChars="200" w:firstLine="420"/>
    </w:pPr>
  </w:style>
  <w:style w:type="paragraph" w:customStyle="1" w:styleId="style201">
    <w:name w:val="style201"/>
    <w:basedOn w:val="a"/>
    <w:rsid w:val="0088286B"/>
    <w:pPr>
      <w:widowControl/>
      <w:spacing w:before="100" w:beforeAutospacing="1" w:after="100" w:afterAutospacing="1"/>
      <w:jc w:val="left"/>
    </w:pPr>
    <w:rPr>
      <w:rFonts w:ascii="宋体" w:eastAsia="宋体" w:hAnsi="宋体" w:cs="宋体"/>
      <w:kern w:val="0"/>
      <w:sz w:val="24"/>
      <w:szCs w:val="24"/>
    </w:rPr>
  </w:style>
  <w:style w:type="character" w:customStyle="1" w:styleId="style26">
    <w:name w:val="style26"/>
    <w:basedOn w:val="a0"/>
    <w:rsid w:val="0088286B"/>
  </w:style>
  <w:style w:type="paragraph" w:styleId="a4">
    <w:name w:val="Balloon Text"/>
    <w:basedOn w:val="a"/>
    <w:link w:val="Char"/>
    <w:uiPriority w:val="99"/>
    <w:semiHidden/>
    <w:unhideWhenUsed/>
    <w:rsid w:val="0041144E"/>
    <w:rPr>
      <w:sz w:val="18"/>
      <w:szCs w:val="18"/>
    </w:rPr>
  </w:style>
  <w:style w:type="character" w:customStyle="1" w:styleId="Char">
    <w:name w:val="批注框文本 Char"/>
    <w:basedOn w:val="a0"/>
    <w:link w:val="a4"/>
    <w:uiPriority w:val="99"/>
    <w:semiHidden/>
    <w:rsid w:val="0041144E"/>
    <w:rPr>
      <w:sz w:val="18"/>
      <w:szCs w:val="18"/>
    </w:rPr>
  </w:style>
  <w:style w:type="table" w:styleId="a5">
    <w:name w:val="Table Grid"/>
    <w:basedOn w:val="a1"/>
    <w:uiPriority w:val="59"/>
    <w:rsid w:val="005B7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A06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06132"/>
    <w:rPr>
      <w:sz w:val="18"/>
      <w:szCs w:val="18"/>
    </w:rPr>
  </w:style>
  <w:style w:type="paragraph" w:styleId="a7">
    <w:name w:val="footer"/>
    <w:basedOn w:val="a"/>
    <w:link w:val="Char1"/>
    <w:uiPriority w:val="99"/>
    <w:unhideWhenUsed/>
    <w:rsid w:val="00A06132"/>
    <w:pPr>
      <w:tabs>
        <w:tab w:val="center" w:pos="4153"/>
        <w:tab w:val="right" w:pos="8306"/>
      </w:tabs>
      <w:snapToGrid w:val="0"/>
      <w:jc w:val="left"/>
    </w:pPr>
    <w:rPr>
      <w:sz w:val="18"/>
      <w:szCs w:val="18"/>
    </w:rPr>
  </w:style>
  <w:style w:type="character" w:customStyle="1" w:styleId="Char1">
    <w:name w:val="页脚 Char"/>
    <w:basedOn w:val="a0"/>
    <w:link w:val="a7"/>
    <w:uiPriority w:val="99"/>
    <w:rsid w:val="00A061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86B"/>
    <w:pPr>
      <w:ind w:firstLineChars="200" w:firstLine="420"/>
    </w:pPr>
  </w:style>
  <w:style w:type="paragraph" w:customStyle="1" w:styleId="style201">
    <w:name w:val="style201"/>
    <w:basedOn w:val="a"/>
    <w:rsid w:val="0088286B"/>
    <w:pPr>
      <w:widowControl/>
      <w:spacing w:before="100" w:beforeAutospacing="1" w:after="100" w:afterAutospacing="1"/>
      <w:jc w:val="left"/>
    </w:pPr>
    <w:rPr>
      <w:rFonts w:ascii="宋体" w:eastAsia="宋体" w:hAnsi="宋体" w:cs="宋体"/>
      <w:kern w:val="0"/>
      <w:sz w:val="24"/>
      <w:szCs w:val="24"/>
    </w:rPr>
  </w:style>
  <w:style w:type="character" w:customStyle="1" w:styleId="style26">
    <w:name w:val="style26"/>
    <w:basedOn w:val="a0"/>
    <w:rsid w:val="0088286B"/>
  </w:style>
  <w:style w:type="paragraph" w:styleId="a4">
    <w:name w:val="Balloon Text"/>
    <w:basedOn w:val="a"/>
    <w:link w:val="Char"/>
    <w:uiPriority w:val="99"/>
    <w:semiHidden/>
    <w:unhideWhenUsed/>
    <w:rsid w:val="0041144E"/>
    <w:rPr>
      <w:sz w:val="18"/>
      <w:szCs w:val="18"/>
    </w:rPr>
  </w:style>
  <w:style w:type="character" w:customStyle="1" w:styleId="Char">
    <w:name w:val="批注框文本 Char"/>
    <w:basedOn w:val="a0"/>
    <w:link w:val="a4"/>
    <w:uiPriority w:val="99"/>
    <w:semiHidden/>
    <w:rsid w:val="004114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4973">
      <w:bodyDiv w:val="1"/>
      <w:marLeft w:val="0"/>
      <w:marRight w:val="0"/>
      <w:marTop w:val="0"/>
      <w:marBottom w:val="0"/>
      <w:divBdr>
        <w:top w:val="none" w:sz="0" w:space="0" w:color="auto"/>
        <w:left w:val="none" w:sz="0" w:space="0" w:color="auto"/>
        <w:bottom w:val="none" w:sz="0" w:space="0" w:color="auto"/>
        <w:right w:val="none" w:sz="0" w:space="0" w:color="auto"/>
      </w:divBdr>
      <w:divsChild>
        <w:div w:id="1136872208">
          <w:marLeft w:val="0"/>
          <w:marRight w:val="0"/>
          <w:marTop w:val="0"/>
          <w:marBottom w:val="0"/>
          <w:divBdr>
            <w:top w:val="none" w:sz="0" w:space="0" w:color="auto"/>
            <w:left w:val="none" w:sz="0" w:space="0" w:color="auto"/>
            <w:bottom w:val="none" w:sz="0" w:space="0" w:color="auto"/>
            <w:right w:val="none" w:sz="0" w:space="0" w:color="auto"/>
          </w:divBdr>
        </w:div>
        <w:div w:id="1117408547">
          <w:marLeft w:val="0"/>
          <w:marRight w:val="0"/>
          <w:marTop w:val="0"/>
          <w:marBottom w:val="0"/>
          <w:divBdr>
            <w:top w:val="none" w:sz="0" w:space="0" w:color="auto"/>
            <w:left w:val="none" w:sz="0" w:space="0" w:color="auto"/>
            <w:bottom w:val="none" w:sz="0" w:space="0" w:color="auto"/>
            <w:right w:val="none" w:sz="0" w:space="0" w:color="auto"/>
          </w:divBdr>
        </w:div>
        <w:div w:id="1671103449">
          <w:marLeft w:val="0"/>
          <w:marRight w:val="0"/>
          <w:marTop w:val="0"/>
          <w:marBottom w:val="0"/>
          <w:divBdr>
            <w:top w:val="none" w:sz="0" w:space="0" w:color="auto"/>
            <w:left w:val="none" w:sz="0" w:space="0" w:color="auto"/>
            <w:bottom w:val="none" w:sz="0" w:space="0" w:color="auto"/>
            <w:right w:val="none" w:sz="0" w:space="0" w:color="auto"/>
          </w:divBdr>
        </w:div>
        <w:div w:id="583301832">
          <w:marLeft w:val="0"/>
          <w:marRight w:val="0"/>
          <w:marTop w:val="0"/>
          <w:marBottom w:val="0"/>
          <w:divBdr>
            <w:top w:val="none" w:sz="0" w:space="0" w:color="auto"/>
            <w:left w:val="none" w:sz="0" w:space="0" w:color="auto"/>
            <w:bottom w:val="none" w:sz="0" w:space="0" w:color="auto"/>
            <w:right w:val="none" w:sz="0" w:space="0" w:color="auto"/>
          </w:divBdr>
        </w:div>
        <w:div w:id="2111965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freeuser</cp:lastModifiedBy>
  <cp:revision>11</cp:revision>
  <dcterms:created xsi:type="dcterms:W3CDTF">2018-05-09T05:34:00Z</dcterms:created>
  <dcterms:modified xsi:type="dcterms:W3CDTF">2019-03-19T06:07:00Z</dcterms:modified>
</cp:coreProperties>
</file>